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4966"/>
        <w:gridCol w:w="4966"/>
      </w:tblGrid>
      <w:tr w:rsidR="00F554CF" w:rsidRPr="00900C9A" w:rsidTr="00E65298">
        <w:trPr>
          <w:trHeight w:val="285"/>
        </w:trPr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786AAF">
              <w:rPr>
                <w:rFonts w:ascii="Arial" w:hAnsi="Arial"/>
                <w:b/>
              </w:rPr>
              <w:t>3</w:t>
            </w:r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C55DD8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E65298">
        <w:trPr>
          <w:trHeight w:val="465"/>
        </w:trPr>
        <w:tc>
          <w:tcPr>
            <w:tcW w:w="1185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Wykonawca</w:t>
            </w: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1850" w:type="dxa"/>
            <w:gridSpan w:val="2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Projektanta sprawujący nadzór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15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8C3273" w:rsidRDefault="00F554CF" w:rsidP="003E79D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E65298">
        <w:trPr>
          <w:trHeight w:val="585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>uzyskano/nie uzyskano</w:t>
            </w:r>
            <w:r w:rsidR="0098104D">
              <w:rPr>
                <w:rFonts w:asciiTheme="minorHAnsi" w:hAnsiTheme="minorHAnsi" w:cstheme="minorHAnsi"/>
                <w:color w:val="000000"/>
              </w:rPr>
              <w:t xml:space="preserve"> (</w:t>
            </w:r>
            <w:bookmarkStart w:id="0" w:name="_GoBack"/>
            <w:bookmarkEnd w:id="0"/>
            <w:r w:rsidRPr="008C3273">
              <w:rPr>
                <w:rFonts w:asciiTheme="minorHAnsi" w:hAnsiTheme="minorHAnsi" w:cstheme="minorHAnsi"/>
                <w:color w:val="000000"/>
              </w:rPr>
              <w:t>podać przyczyny)</w:t>
            </w:r>
          </w:p>
        </w:tc>
      </w:tr>
      <w:tr w:rsidR="00F554CF" w:rsidRPr="00900C9A" w:rsidTr="00E65298">
        <w:trPr>
          <w:trHeight w:val="710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(w trakcie opracowywania/opracowana/w uzgodnieniu/uzgodniona w PGE pod względem zgodności z warunkami technicznymi) 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E65298">
        <w:trPr>
          <w:trHeight w:val="409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Wymagane opinie (</w:t>
            </w: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E65298">
        <w:trPr>
          <w:trHeight w:val="802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Wykaz działek dla których uzgodniono podpisanie aktów notarialnych (służebność </w:t>
            </w:r>
            <w:proofErr w:type="spellStart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)/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Default="00F554CF" w:rsidP="003E79DE">
            <w:pPr>
              <w:rPr>
                <w:color w:val="000000"/>
              </w:rPr>
            </w:pPr>
          </w:p>
          <w:p w:rsidR="00E65298" w:rsidRPr="00900C9A" w:rsidRDefault="00E65298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 xml:space="preserve">Wykaz działek dla których uzyskano akty notarialne (służebność </w:t>
            </w:r>
            <w:proofErr w:type="spellStart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)/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550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Zgoda właścicieli drogi wg wypisu z rejestru gruntów dz. Nr + ksero dowodu wpłaty/dotyczy decyzji o umieszczenia w pasie drogi.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488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45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300"/>
        </w:trPr>
        <w:tc>
          <w:tcPr>
            <w:tcW w:w="11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8C3273" w:rsidRDefault="00F554CF" w:rsidP="003E79DE">
            <w:pPr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</w:rPr>
              <w:t>Planowana data:</w:t>
            </w: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</w:rPr>
              <w:t>Wykonano</w:t>
            </w: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435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E65298">
        <w:trPr>
          <w:trHeight w:val="1124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8C3273" w:rsidRDefault="00F554CF" w:rsidP="00E6529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554CF" w:rsidRPr="00900C9A" w:rsidTr="00E65298">
        <w:trPr>
          <w:trHeight w:val="70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Informacja o zmianie projektanta sprawującego nadzór </w:t>
            </w:r>
          </w:p>
        </w:tc>
        <w:tc>
          <w:tcPr>
            <w:tcW w:w="1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40"/>
        </w:trPr>
        <w:tc>
          <w:tcPr>
            <w:tcW w:w="1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8C3273" w:rsidTr="00E65298">
        <w:trPr>
          <w:trHeight w:val="300"/>
        </w:trPr>
        <w:tc>
          <w:tcPr>
            <w:tcW w:w="1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>podpis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2A07DB" w:rsidRPr="00786AAF" w:rsidRDefault="002A07DB" w:rsidP="00786AAF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2A07DB" w:rsidRPr="00786AAF" w:rsidSect="00786AAF">
      <w:headerReference w:type="default" r:id="rId11"/>
      <w:headerReference w:type="first" r:id="rId12"/>
      <w:pgSz w:w="16838" w:h="11906" w:orient="landscape"/>
      <w:pgMar w:top="1418" w:right="851" w:bottom="1133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8A" w:rsidRDefault="00BB738A">
      <w:r>
        <w:separator/>
      </w:r>
    </w:p>
  </w:endnote>
  <w:endnote w:type="continuationSeparator" w:id="0">
    <w:p w:rsidR="00BB738A" w:rsidRDefault="00BB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8A" w:rsidRDefault="00BB738A">
      <w:r>
        <w:separator/>
      </w:r>
    </w:p>
  </w:footnote>
  <w:footnote w:type="continuationSeparator" w:id="0">
    <w:p w:rsidR="00BB738A" w:rsidRDefault="00BB7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C05522" w:rsidRDefault="00005B75" w:rsidP="00C05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786AAF" w:rsidRDefault="00005B75" w:rsidP="00786A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AAF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273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5CEF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04D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38A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B15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5298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27619C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umowy - wzór raportu z postępu prac projektowych.docx</dmsv2BaseFileName>
    <dmsv2BaseDisplayName xmlns="http://schemas.microsoft.com/sharepoint/v3">Załącznik nr 3 do umowy - wzór raportu z postępu prac projektowych</dmsv2BaseDisplayName>
    <dmsv2SWPP2ObjectNumber xmlns="http://schemas.microsoft.com/sharepoint/v3">POST/DYS/OL/GZ/04306/2025                         </dmsv2SWPP2ObjectNumber>
    <dmsv2SWPP2SumMD5 xmlns="http://schemas.microsoft.com/sharepoint/v3">107297709a95069dffb778b5a90844c1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23959551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JEUP5JKVCYQC-91331814-13951</_dlc_DocId>
    <_dlc_DocIdUrl xmlns="a19cb1c7-c5c7-46d4-85ae-d83685407bba">
      <Url>https://swpp2.dms.gkpge.pl/sites/41/_layouts/15/DocIdRedir.aspx?ID=JEUP5JKVCYQC-91331814-13951</Url>
      <Description>JEUP5JKVCYQC-91331814-13951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153BF29D-5F25-49A0-B630-A5BD342F17C8}"/>
</file>

<file path=customXml/itemProps4.xml><?xml version="1.0" encoding="utf-8"?>
<ds:datastoreItem xmlns:ds="http://schemas.openxmlformats.org/officeDocument/2006/customXml" ds:itemID="{2D6B070E-E062-4297-9E96-805D72DEB49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CA540FE-26A8-49CE-9C35-3002ED7301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1872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Paśnik Jacek [PGE Dystr. O.Lublin]</cp:lastModifiedBy>
  <cp:revision>9</cp:revision>
  <cp:lastPrinted>2012-09-10T12:32:00Z</cp:lastPrinted>
  <dcterms:created xsi:type="dcterms:W3CDTF">2024-09-18T20:49:00Z</dcterms:created>
  <dcterms:modified xsi:type="dcterms:W3CDTF">2024-10-13T20:50:00Z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dad6d23a-0ece-46c1-a0c4-d8c486c31f10</vt:lpwstr>
  </property>
</Properties>
</file>